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rPr>
      </w:pPr>
      <w:bookmarkStart w:id="0" w:name="_Hlk52739852"/>
      <w:r>
        <w:rPr>
          <w:rFonts w:hint="eastAsia"/>
          <w:b/>
          <w:bCs/>
          <w:sz w:val="32"/>
          <w:szCs w:val="40"/>
        </w:rPr>
        <w:t>成都中医药大学优秀研究生、十佳研究生评选办法</w:t>
      </w:r>
    </w:p>
    <w:p>
      <w:pPr>
        <w:jc w:val="center"/>
        <w:rPr>
          <w:rFonts w:hint="eastAsia" w:eastAsiaTheme="minorEastAsia"/>
          <w:b/>
          <w:bCs/>
          <w:sz w:val="32"/>
          <w:szCs w:val="40"/>
          <w:lang w:eastAsia="zh-CN"/>
        </w:rPr>
      </w:pPr>
      <w:r>
        <w:rPr>
          <w:rFonts w:hint="eastAsia"/>
          <w:b/>
          <w:bCs/>
          <w:sz w:val="32"/>
          <w:szCs w:val="40"/>
          <w:lang w:eastAsia="zh-CN"/>
        </w:rPr>
        <w:t>（</w:t>
      </w:r>
      <w:r>
        <w:rPr>
          <w:rFonts w:hint="eastAsia"/>
          <w:b/>
          <w:bCs/>
          <w:sz w:val="32"/>
          <w:szCs w:val="40"/>
          <w:lang w:val="en-US" w:eastAsia="zh-CN"/>
        </w:rPr>
        <w:t>2021年暂行</w:t>
      </w:r>
      <w:r>
        <w:rPr>
          <w:rFonts w:hint="eastAsia"/>
          <w:b/>
          <w:bCs/>
          <w:sz w:val="32"/>
          <w:szCs w:val="40"/>
          <w:lang w:eastAsia="zh-CN"/>
        </w:rPr>
        <w:t>）</w:t>
      </w:r>
    </w:p>
    <w:p>
      <w:pPr>
        <w:jc w:val="center"/>
        <w:rPr>
          <w:b/>
          <w:bCs/>
          <w:sz w:val="32"/>
          <w:szCs w:val="40"/>
        </w:rPr>
      </w:pPr>
    </w:p>
    <w:p>
      <w:pPr>
        <w:widowControl/>
        <w:spacing w:line="270" w:lineRule="atLeast"/>
        <w:ind w:firstLine="643" w:firstLineChars="200"/>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第一条</w:t>
      </w:r>
      <w:r>
        <w:rPr>
          <w:rFonts w:ascii="Calibri" w:hAnsi="Calibri" w:eastAsia="仿宋" w:cs="Calibri"/>
          <w:color w:val="000000"/>
          <w:kern w:val="0"/>
          <w:sz w:val="32"/>
          <w:szCs w:val="32"/>
        </w:rPr>
        <w:t>  </w:t>
      </w:r>
      <w:r>
        <w:rPr>
          <w:rFonts w:hint="eastAsia" w:ascii="Calibri" w:hAnsi="Calibri" w:eastAsia="仿宋" w:cs="Calibri"/>
          <w:color w:val="000000"/>
          <w:kern w:val="0"/>
          <w:sz w:val="32"/>
          <w:szCs w:val="32"/>
        </w:rPr>
        <w:t>为学习贯</w:t>
      </w:r>
      <w:r>
        <w:rPr>
          <w:rFonts w:hint="eastAsia" w:ascii="仿宋" w:hAnsi="仿宋" w:eastAsia="仿宋" w:cs="宋体"/>
          <w:color w:val="000000"/>
          <w:kern w:val="0"/>
          <w:sz w:val="32"/>
          <w:szCs w:val="32"/>
        </w:rPr>
        <w:t>彻习近平总书记关于研究生教育的重要指示精神，全面贯彻党的教育方针，落实立德树人根本任务，加强研究生德育培养，推动研究生德智体美劳全面发展，营造良好学术氛围，激发研究生创新意识，培养创新能力，通过选树典型和表彰先进，充分发挥研究生榜样的示范引领作用，鼓励和表彰在我校做出突出成绩的研究生，特制定本办法。</w:t>
      </w:r>
    </w:p>
    <w:p>
      <w:pPr>
        <w:widowControl/>
        <w:spacing w:line="270" w:lineRule="atLeast"/>
        <w:ind w:firstLine="643" w:firstLineChars="200"/>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第二条</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优秀研究生、十佳研究生评选标准为“品德端正、学术突出、工作出色、全面发展”，评选工作坚持公平、公正、公开的原则。</w:t>
      </w:r>
    </w:p>
    <w:p>
      <w:pPr>
        <w:widowControl/>
        <w:spacing w:line="270" w:lineRule="atLeast"/>
        <w:ind w:firstLine="413"/>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第三条</w:t>
      </w:r>
      <w:r>
        <w:rPr>
          <w:rFonts w:ascii="Calibri" w:hAnsi="Calibri" w:eastAsia="仿宋" w:cs="Calibri"/>
          <w:b/>
          <w:bCs/>
          <w:color w:val="000000"/>
          <w:kern w:val="0"/>
          <w:sz w:val="32"/>
          <w:szCs w:val="32"/>
        </w:rPr>
        <w:t>  </w:t>
      </w:r>
      <w:r>
        <w:rPr>
          <w:rFonts w:hint="eastAsia" w:ascii="仿宋" w:hAnsi="仿宋" w:eastAsia="仿宋" w:cs="宋体"/>
          <w:color w:val="000000"/>
          <w:kern w:val="0"/>
          <w:sz w:val="32"/>
          <w:szCs w:val="32"/>
        </w:rPr>
        <w:t>评选工作每年进行一次。</w:t>
      </w:r>
    </w:p>
    <w:p>
      <w:pPr>
        <w:widowControl/>
        <w:spacing w:line="270" w:lineRule="atLeast"/>
        <w:ind w:firstLine="413"/>
        <w:jc w:val="left"/>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第四条</w:t>
      </w:r>
      <w:r>
        <w:rPr>
          <w:rFonts w:ascii="Calibri" w:hAnsi="Calibri" w:eastAsia="仿宋" w:cs="Calibri"/>
          <w:b/>
          <w:bCs/>
          <w:color w:val="000000"/>
          <w:kern w:val="0"/>
          <w:sz w:val="32"/>
          <w:szCs w:val="32"/>
        </w:rPr>
        <w:t>  </w:t>
      </w:r>
      <w:r>
        <w:rPr>
          <w:rFonts w:hint="eastAsia" w:ascii="仿宋" w:hAnsi="仿宋" w:eastAsia="仿宋" w:cs="宋体"/>
          <w:color w:val="000000"/>
          <w:kern w:val="0"/>
          <w:sz w:val="32"/>
          <w:szCs w:val="32"/>
        </w:rPr>
        <w:t>优秀研究生评选对象为具有成都中医药大学学籍的全日制在读硕博士研究生，十佳研究生评选对象为获得本年度优秀研究生称号的研究生。</w:t>
      </w:r>
    </w:p>
    <w:p>
      <w:pPr>
        <w:widowControl/>
        <w:spacing w:line="270" w:lineRule="atLeast"/>
        <w:ind w:firstLine="413"/>
        <w:jc w:val="left"/>
        <w:rPr>
          <w:rFonts w:ascii="仿宋" w:hAnsi="仿宋" w:eastAsia="仿宋" w:cs="宋体"/>
          <w:color w:val="000000"/>
          <w:kern w:val="0"/>
          <w:sz w:val="22"/>
          <w:szCs w:val="22"/>
        </w:rPr>
      </w:pPr>
      <w:r>
        <w:rPr>
          <w:rFonts w:hint="eastAsia" w:ascii="仿宋" w:hAnsi="仿宋" w:eastAsia="仿宋" w:cs="宋体"/>
          <w:b/>
          <w:bCs/>
          <w:color w:val="000000"/>
          <w:kern w:val="0"/>
          <w:sz w:val="32"/>
          <w:szCs w:val="32"/>
        </w:rPr>
        <w:t>第五条</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优秀研究生、十佳研究生评选工作由党委研究生工作部/研究生院负责组织进行。</w:t>
      </w:r>
    </w:p>
    <w:p>
      <w:pPr>
        <w:widowControl/>
        <w:spacing w:line="270" w:lineRule="atLeast"/>
        <w:ind w:firstLine="413"/>
        <w:jc w:val="left"/>
        <w:rPr>
          <w:rFonts w:ascii="仿宋" w:hAnsi="仿宋" w:eastAsia="仿宋" w:cs="宋体"/>
          <w:color w:val="000000"/>
          <w:kern w:val="0"/>
          <w:sz w:val="22"/>
          <w:szCs w:val="22"/>
        </w:rPr>
      </w:pPr>
      <w:r>
        <w:rPr>
          <w:rFonts w:hint="eastAsia" w:ascii="仿宋" w:hAnsi="仿宋" w:eastAsia="仿宋" w:cs="宋体"/>
          <w:b/>
          <w:bCs/>
          <w:color w:val="000000"/>
          <w:kern w:val="0"/>
          <w:sz w:val="32"/>
          <w:szCs w:val="32"/>
        </w:rPr>
        <w:t>第六条</w:t>
      </w:r>
      <w:r>
        <w:rPr>
          <w:rFonts w:ascii="Calibri" w:hAnsi="Calibri" w:eastAsia="仿宋" w:cs="Calibri"/>
          <w:b/>
          <w:bCs/>
          <w:color w:val="000000"/>
          <w:kern w:val="0"/>
          <w:sz w:val="32"/>
          <w:szCs w:val="32"/>
        </w:rPr>
        <w:t>  </w:t>
      </w:r>
      <w:r>
        <w:rPr>
          <w:rFonts w:hint="eastAsia" w:ascii="仿宋" w:hAnsi="仿宋" w:eastAsia="仿宋" w:cs="宋体"/>
          <w:color w:val="000000"/>
          <w:kern w:val="0"/>
          <w:sz w:val="32"/>
          <w:szCs w:val="32"/>
        </w:rPr>
        <w:t>评选条件</w:t>
      </w:r>
    </w:p>
    <w:p>
      <w:pPr>
        <w:widowControl/>
        <w:spacing w:line="270" w:lineRule="atLeast"/>
        <w:ind w:firstLine="412"/>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（一）基本条件</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1、热爱</w:t>
      </w:r>
      <w:r>
        <w:rPr>
          <w:rFonts w:hint="eastAsia" w:ascii="仿宋" w:hAnsi="仿宋" w:eastAsia="仿宋" w:cs="宋体"/>
          <w:color w:val="000000"/>
          <w:kern w:val="0"/>
          <w:sz w:val="32"/>
          <w:szCs w:val="32"/>
          <w:highlight w:val="none"/>
          <w:u w:val="none"/>
        </w:rPr>
        <w:t>社会主义祖国</w:t>
      </w:r>
      <w:r>
        <w:rPr>
          <w:rFonts w:hint="eastAsia" w:ascii="仿宋" w:hAnsi="仿宋" w:eastAsia="仿宋" w:cs="宋体"/>
          <w:color w:val="000000"/>
          <w:kern w:val="0"/>
          <w:sz w:val="32"/>
          <w:szCs w:val="32"/>
        </w:rPr>
        <w:t>，拥护中国共产党的领导；</w:t>
      </w:r>
      <w:r>
        <w:rPr>
          <w:rFonts w:ascii="仿宋" w:hAnsi="仿宋" w:eastAsia="仿宋" w:cs="宋体"/>
          <w:color w:val="000000"/>
          <w:kern w:val="0"/>
          <w:sz w:val="32"/>
          <w:szCs w:val="32"/>
        </w:rPr>
        <w:t xml:space="preserve"> </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2、遵守宪法和法律，遵守学校规章制度，无违法违纪；</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3、诚实守信，遵守学术道德，思想品质优良，身心健康，积极参加公益活动；</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4、注重全面发展，综合素质优秀，在学习生活中和各项活动中起表率作用。</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（二）在读期间，以下条件至少满足一项：</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1、获研究生国家奖学金或学业奖学金一等奖的硕博士研究生；</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2、以第一完成人参加“互联网+”大学生创新创业大赛、“挑战杯”中国大学生创业计划竞赛、“挑战杯”全国大学生课外学术科技作品竞赛获得省级金奖及以上的硕博士研究生；</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以第一作者(不含共同）获得“远志杯”全国高等中医药院校大学生课外学术科技作品竞赛一等奖的硕博士研究生或以第一作者(不含共同）获得“岐黄杯”全国中医药博士生优秀论文评选活动中一等奖的博士研究生；</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4、以第一作者(不含共同）发表热点论文、高被引论文等高水平学术论文的硕博士研究生；</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5、以主编</w:t>
      </w:r>
      <w:r>
        <w:rPr>
          <w:rFonts w:hint="eastAsia" w:ascii="仿宋" w:hAnsi="仿宋" w:eastAsia="仿宋" w:cs="宋体"/>
          <w:color w:val="000000"/>
          <w:kern w:val="0"/>
          <w:sz w:val="32"/>
          <w:szCs w:val="32"/>
          <w:lang w:eastAsia="zh-CN"/>
        </w:rPr>
        <w:t>或</w:t>
      </w:r>
      <w:r>
        <w:rPr>
          <w:rFonts w:hint="eastAsia" w:ascii="仿宋" w:hAnsi="仿宋" w:eastAsia="仿宋" w:cs="宋体"/>
          <w:color w:val="000000"/>
          <w:kern w:val="0"/>
          <w:sz w:val="32"/>
          <w:szCs w:val="32"/>
        </w:rPr>
        <w:t>副主编出版学术专著、以第一完成人获得专利、获得省部级以上科技奖励等学术成果显著的硕博士研究生；</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6、在服务社会、甘于奉献、见义勇为、自强不息等方面有典型事迹且在校内外产生广泛影响，代表了社会发展方向、社会价值观取向及时代精神的硕博士研究生；</w:t>
      </w:r>
    </w:p>
    <w:p>
      <w:pPr>
        <w:widowControl/>
        <w:spacing w:line="27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7、在规培医院临床实践能力与表现优异的专业学位研究生。</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以上所有成果均须以成都中医药大学为第一单位。在读期间获得研究生优秀团队荣誉的研究生或者校院级优秀共产党员称号的研究生，在评审时可予优先推荐。</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（三）</w:t>
      </w:r>
      <w:r>
        <w:rPr>
          <w:rFonts w:hint="eastAsia" w:ascii="仿宋" w:hAnsi="仿宋" w:eastAsia="仿宋" w:cs="宋体"/>
          <w:color w:val="000000"/>
          <w:kern w:val="0"/>
          <w:sz w:val="32"/>
          <w:szCs w:val="32"/>
        </w:rPr>
        <w:t xml:space="preserve"> 有以下情节之一者，不具备当年参评资格：</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1.超出基本修业年限的，不具备参评资格；</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2.参评学年学籍有休学、保留学籍者；</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3.参评学年有违法犯罪行为，受到刑事、行政处罚者；</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4.参评学年有违纪现象，受到警告及以上处分者；</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5.参评学年有论文抄袭、造假等学术不端行为者；</w:t>
      </w:r>
    </w:p>
    <w:p>
      <w:pPr>
        <w:widowControl/>
        <w:spacing w:line="270" w:lineRule="atLeast"/>
        <w:ind w:firstLine="640" w:firstLineChars="20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6.学校认定的其他情形。</w:t>
      </w:r>
    </w:p>
    <w:p>
      <w:pPr>
        <w:widowControl/>
        <w:spacing w:line="270" w:lineRule="atLeast"/>
        <w:ind w:firstLine="413"/>
        <w:jc w:val="left"/>
        <w:rPr>
          <w:rFonts w:ascii="仿宋" w:hAnsi="仿宋" w:eastAsia="仿宋" w:cs="宋体"/>
          <w:color w:val="000000"/>
          <w:kern w:val="0"/>
          <w:sz w:val="22"/>
          <w:szCs w:val="22"/>
        </w:rPr>
      </w:pPr>
      <w:r>
        <w:rPr>
          <w:rFonts w:hint="eastAsia" w:ascii="仿宋" w:hAnsi="仿宋" w:eastAsia="仿宋" w:cs="宋体"/>
          <w:b/>
          <w:bCs/>
          <w:color w:val="000000"/>
          <w:kern w:val="0"/>
          <w:sz w:val="32"/>
          <w:szCs w:val="32"/>
        </w:rPr>
        <w:t>第七条</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评选程序</w:t>
      </w:r>
    </w:p>
    <w:p>
      <w:pPr>
        <w:widowControl/>
        <w:spacing w:line="270" w:lineRule="atLeast"/>
        <w:ind w:firstLine="56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1、优秀研究生评选人数为在校硕博士研究生人数的3%，按照十佳研究生在优秀研究生的基础上产生的原则从优秀研究生中推荐25名为十佳研究生候选人，经学校评审评选出10名十佳研究生,其中硕士研究生</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人，博士研究生</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人。</w:t>
      </w:r>
    </w:p>
    <w:p>
      <w:pPr>
        <w:widowControl/>
        <w:spacing w:line="270" w:lineRule="atLeast"/>
        <w:ind w:firstLine="567"/>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2、符合条件的研</w:t>
      </w:r>
      <w:bookmarkStart w:id="1" w:name="_GoBack"/>
      <w:bookmarkEnd w:id="1"/>
      <w:r>
        <w:rPr>
          <w:rFonts w:hint="eastAsia" w:ascii="仿宋" w:hAnsi="仿宋" w:eastAsia="仿宋" w:cs="宋体"/>
          <w:color w:val="000000"/>
          <w:kern w:val="0"/>
          <w:sz w:val="32"/>
          <w:szCs w:val="32"/>
        </w:rPr>
        <w:t>究生本人向所在学院申请并提交申请审批表和相关证明材料</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各学院成立学院评审委员会</w:t>
      </w:r>
      <w:r>
        <w:rPr>
          <w:rFonts w:hint="eastAsia" w:ascii="仿宋" w:hAnsi="仿宋" w:eastAsia="仿宋" w:cs="宋体"/>
          <w:color w:val="000000"/>
          <w:kern w:val="0"/>
          <w:sz w:val="32"/>
          <w:szCs w:val="32"/>
          <w:lang w:eastAsia="zh-CN"/>
        </w:rPr>
        <w:t>并制定评审细则，学院根据本办法和学院评审细则</w:t>
      </w:r>
      <w:r>
        <w:rPr>
          <w:rFonts w:hint="eastAsia" w:ascii="仿宋" w:hAnsi="仿宋" w:eastAsia="仿宋" w:cs="宋体"/>
          <w:color w:val="000000"/>
          <w:kern w:val="0"/>
          <w:sz w:val="32"/>
          <w:szCs w:val="32"/>
        </w:rPr>
        <w:t>进行材料审核、评选，按照学院研究生人数</w:t>
      </w:r>
      <w:r>
        <w:rPr>
          <w:rFonts w:ascii="仿宋" w:hAnsi="仿宋" w:eastAsia="仿宋" w:cs="宋体"/>
          <w:color w:val="000000"/>
          <w:kern w:val="0"/>
          <w:sz w:val="32"/>
          <w:szCs w:val="32"/>
        </w:rPr>
        <w:t>分配</w:t>
      </w:r>
      <w:r>
        <w:rPr>
          <w:rFonts w:hint="eastAsia" w:ascii="仿宋" w:hAnsi="仿宋" w:eastAsia="仿宋" w:cs="宋体"/>
          <w:color w:val="000000"/>
          <w:kern w:val="0"/>
          <w:sz w:val="32"/>
          <w:szCs w:val="32"/>
        </w:rPr>
        <w:t>名额进行推荐，经公示无异议后，所有推荐人选获评年度成都中医药大学优秀研究生称号。</w:t>
      </w:r>
    </w:p>
    <w:p>
      <w:pPr>
        <w:pStyle w:val="2"/>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学校分管校领导、党委研究生工作部/研究生院领导、各学院分管领导、导师代表等组成十佳研究生评审小组。十佳研究生候选人须经过答辩，评审小组现场实名投票表决并公布结果，择优确定10名十佳研究生名单。经公示无异议后，推荐人选获评年度成都中医药大学十佳研究生称号。</w:t>
      </w:r>
    </w:p>
    <w:p>
      <w:pPr>
        <w:widowControl/>
        <w:spacing w:line="270" w:lineRule="atLeast"/>
        <w:ind w:firstLine="413"/>
        <w:jc w:val="left"/>
        <w:rPr>
          <w:rFonts w:ascii="仿宋" w:hAnsi="仿宋" w:eastAsia="仿宋" w:cs="宋体"/>
          <w:color w:val="000000"/>
          <w:kern w:val="0"/>
          <w:sz w:val="22"/>
          <w:szCs w:val="22"/>
        </w:rPr>
      </w:pPr>
      <w:r>
        <w:rPr>
          <w:rFonts w:hint="eastAsia" w:ascii="仿宋" w:hAnsi="仿宋" w:eastAsia="仿宋" w:cs="宋体"/>
          <w:b/>
          <w:bCs/>
          <w:color w:val="000000"/>
          <w:kern w:val="0"/>
          <w:sz w:val="32"/>
          <w:szCs w:val="32"/>
        </w:rPr>
        <w:t>第八条</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公示</w:t>
      </w:r>
    </w:p>
    <w:p>
      <w:pPr>
        <w:widowControl/>
        <w:spacing w:line="270" w:lineRule="atLeast"/>
        <w:ind w:firstLine="709"/>
        <w:jc w:val="left"/>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1、各学院推荐产生的优秀研究生和十佳研究生候选人名单须在院内公示不少于三个工作日。对评选结果有异议的，应在公示期内向所在学院提出书面申诉。</w:t>
      </w:r>
    </w:p>
    <w:p>
      <w:pPr>
        <w:widowControl/>
        <w:spacing w:line="270" w:lineRule="atLeast"/>
        <w:ind w:firstLine="640" w:firstLineChars="200"/>
        <w:jc w:val="left"/>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2、学校对评选出的优秀研究生、十佳研究生名单在校内公示不少于三个工作日。对评选结果有异议的，应在公示期内向党委研究生工作部/研究生院提出书面申诉。</w:t>
      </w:r>
    </w:p>
    <w:p>
      <w:pPr>
        <w:widowControl/>
        <w:spacing w:line="270" w:lineRule="atLeast"/>
        <w:ind w:firstLine="640" w:firstLineChars="200"/>
        <w:jc w:val="left"/>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3、公示无异议后，在全校范围内公布评选结果。</w:t>
      </w:r>
    </w:p>
    <w:p>
      <w:pPr>
        <w:widowControl/>
        <w:spacing w:line="270" w:lineRule="atLeast"/>
        <w:ind w:firstLine="413"/>
        <w:jc w:val="left"/>
        <w:rPr>
          <w:rFonts w:ascii="仿宋" w:hAnsi="仿宋" w:eastAsia="仿宋" w:cs="宋体"/>
          <w:color w:val="000000"/>
          <w:kern w:val="0"/>
          <w:sz w:val="22"/>
          <w:szCs w:val="22"/>
        </w:rPr>
      </w:pPr>
      <w:r>
        <w:rPr>
          <w:rFonts w:hint="eastAsia" w:ascii="仿宋" w:hAnsi="仿宋" w:eastAsia="仿宋" w:cs="宋体"/>
          <w:b/>
          <w:bCs/>
          <w:color w:val="000000"/>
          <w:kern w:val="0"/>
          <w:sz w:val="32"/>
          <w:szCs w:val="32"/>
        </w:rPr>
        <w:t>第九条</w:t>
      </w:r>
      <w:r>
        <w:rPr>
          <w:rFonts w:ascii="Calibri" w:hAnsi="Calibri" w:eastAsia="仿宋" w:cs="Calibri"/>
          <w:b/>
          <w:bCs/>
          <w:color w:val="000000"/>
          <w:spacing w:val="-8"/>
          <w:kern w:val="0"/>
          <w:sz w:val="32"/>
          <w:szCs w:val="32"/>
        </w:rPr>
        <w:t>  </w:t>
      </w:r>
      <w:r>
        <w:rPr>
          <w:rFonts w:hint="eastAsia" w:ascii="仿宋" w:hAnsi="仿宋" w:eastAsia="仿宋" w:cs="宋体"/>
          <w:color w:val="000000"/>
          <w:spacing w:val="-8"/>
          <w:kern w:val="0"/>
          <w:sz w:val="32"/>
          <w:szCs w:val="32"/>
        </w:rPr>
        <w:t>奖励</w:t>
      </w:r>
    </w:p>
    <w:p>
      <w:pPr>
        <w:widowControl/>
        <w:spacing w:line="270" w:lineRule="atLeast"/>
        <w:ind w:firstLine="640" w:firstLineChars="200"/>
        <w:jc w:val="left"/>
        <w:rPr>
          <w:rFonts w:ascii="Times New Roman" w:hAnsi="Times New Roman" w:eastAsia="仿宋" w:cs="Times New Roman"/>
          <w:color w:val="000000"/>
          <w:kern w:val="0"/>
          <w:sz w:val="32"/>
          <w:szCs w:val="32"/>
        </w:rPr>
      </w:pPr>
      <w:r>
        <w:rPr>
          <w:rFonts w:hint="eastAsia" w:ascii="Times New Roman" w:hAnsi="Times New Roman" w:eastAsia="仿宋" w:cs="Times New Roman"/>
          <w:color w:val="000000"/>
          <w:kern w:val="0"/>
          <w:sz w:val="32"/>
          <w:szCs w:val="32"/>
        </w:rPr>
        <w:t>学校对获奖研究生进行表彰并奖励。</w:t>
      </w:r>
    </w:p>
    <w:p>
      <w:pPr>
        <w:widowControl/>
        <w:spacing w:line="270" w:lineRule="atLeast"/>
        <w:ind w:firstLine="413"/>
        <w:jc w:val="left"/>
        <w:rPr>
          <w:rFonts w:ascii="仿宋" w:hAnsi="仿宋" w:eastAsia="仿宋" w:cs="宋体"/>
          <w:color w:val="000000"/>
          <w:kern w:val="0"/>
          <w:sz w:val="22"/>
          <w:szCs w:val="22"/>
        </w:rPr>
      </w:pPr>
      <w:r>
        <w:rPr>
          <w:rFonts w:hint="eastAsia" w:ascii="仿宋" w:hAnsi="仿宋" w:eastAsia="仿宋" w:cs="宋体"/>
          <w:b/>
          <w:bCs/>
          <w:color w:val="000000"/>
          <w:kern w:val="0"/>
          <w:sz w:val="32"/>
          <w:szCs w:val="32"/>
        </w:rPr>
        <w:t xml:space="preserve">第十条 </w:t>
      </w:r>
      <w:r>
        <w:rPr>
          <w:rFonts w:hint="eastAsia" w:ascii="仿宋" w:hAnsi="仿宋" w:eastAsia="仿宋" w:cs="宋体"/>
          <w:color w:val="000000"/>
          <w:kern w:val="0"/>
          <w:sz w:val="32"/>
          <w:szCs w:val="32"/>
        </w:rPr>
        <w:t>对获批的成都中医药大学优秀研究生、十佳研究生</w:t>
      </w:r>
      <w:r>
        <w:rPr>
          <w:rFonts w:hint="eastAsia" w:ascii="仿宋" w:hAnsi="仿宋" w:eastAsia="仿宋" w:cs="宋体"/>
          <w:color w:val="000000"/>
          <w:kern w:val="0"/>
          <w:sz w:val="32"/>
          <w:szCs w:val="32"/>
          <w:lang w:eastAsia="zh-CN"/>
        </w:rPr>
        <w:t>称号</w:t>
      </w:r>
      <w:r>
        <w:rPr>
          <w:rFonts w:hint="eastAsia" w:ascii="仿宋" w:hAnsi="仿宋" w:eastAsia="仿宋" w:cs="宋体"/>
          <w:color w:val="000000"/>
          <w:kern w:val="0"/>
          <w:sz w:val="32"/>
          <w:szCs w:val="32"/>
        </w:rPr>
        <w:t>获得者，如发现有弄虚作假等问题，学校将</w:t>
      </w:r>
      <w:r>
        <w:rPr>
          <w:rFonts w:hint="eastAsia" w:ascii="仿宋" w:hAnsi="仿宋" w:eastAsia="仿宋" w:cs="宋体"/>
          <w:color w:val="000000"/>
          <w:kern w:val="0"/>
          <w:sz w:val="32"/>
          <w:szCs w:val="32"/>
          <w:lang w:eastAsia="zh-CN"/>
        </w:rPr>
        <w:t>撤销</w:t>
      </w:r>
      <w:r>
        <w:rPr>
          <w:rFonts w:hint="eastAsia" w:ascii="仿宋" w:hAnsi="仿宋" w:eastAsia="仿宋" w:cs="宋体"/>
          <w:color w:val="000000"/>
          <w:kern w:val="0"/>
          <w:sz w:val="32"/>
          <w:szCs w:val="32"/>
        </w:rPr>
        <w:t>对其表彰及奖励，并根据相关规定进行惩处。</w:t>
      </w:r>
    </w:p>
    <w:p>
      <w:pPr>
        <w:widowControl/>
        <w:spacing w:line="270" w:lineRule="atLeast"/>
        <w:ind w:firstLine="413"/>
        <w:jc w:val="left"/>
        <w:rPr>
          <w:rFonts w:ascii="Calibri" w:hAnsi="Calibri" w:eastAsia="仿宋" w:cs="Calibri"/>
          <w:color w:val="000000"/>
          <w:kern w:val="0"/>
          <w:sz w:val="32"/>
          <w:szCs w:val="32"/>
          <w:highlight w:val="yellow"/>
        </w:rPr>
      </w:pPr>
      <w:r>
        <w:rPr>
          <w:rFonts w:hint="eastAsia" w:ascii="仿宋" w:hAnsi="仿宋" w:eastAsia="仿宋" w:cs="宋体"/>
          <w:b/>
          <w:bCs/>
          <w:color w:val="000000"/>
          <w:kern w:val="0"/>
          <w:sz w:val="32"/>
          <w:szCs w:val="32"/>
        </w:rPr>
        <w:t>第十一条</w:t>
      </w:r>
      <w:r>
        <w:rPr>
          <w:rFonts w:ascii="Calibri" w:hAnsi="Calibri" w:eastAsia="仿宋" w:cs="Calibri"/>
          <w:color w:val="000000"/>
          <w:kern w:val="0"/>
          <w:sz w:val="22"/>
          <w:szCs w:val="22"/>
        </w:rPr>
        <w:t>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原则上每名研究生仅能获得一次</w:t>
      </w:r>
      <w:r>
        <w:rPr>
          <w:rFonts w:hint="eastAsia" w:ascii="仿宋" w:hAnsi="仿宋" w:eastAsia="仿宋" w:cs="宋体"/>
          <w:color w:val="000000"/>
          <w:kern w:val="0"/>
          <w:sz w:val="32"/>
          <w:szCs w:val="32"/>
          <w:lang w:eastAsia="zh-CN"/>
        </w:rPr>
        <w:t>十佳研究生</w:t>
      </w:r>
      <w:r>
        <w:rPr>
          <w:rFonts w:hint="eastAsia" w:ascii="仿宋" w:hAnsi="仿宋" w:eastAsia="仿宋" w:cs="宋体"/>
          <w:color w:val="000000"/>
          <w:kern w:val="0"/>
          <w:sz w:val="32"/>
          <w:szCs w:val="32"/>
        </w:rPr>
        <w:t>奖励。</w:t>
      </w:r>
    </w:p>
    <w:p>
      <w:pPr>
        <w:widowControl/>
        <w:spacing w:line="270" w:lineRule="atLeast"/>
        <w:ind w:firstLine="413"/>
        <w:jc w:val="left"/>
        <w:rPr>
          <w:rFonts w:ascii="仿宋" w:hAnsi="仿宋" w:eastAsia="仿宋" w:cs="宋体"/>
          <w:color w:val="000000"/>
          <w:kern w:val="0"/>
          <w:sz w:val="40"/>
          <w:szCs w:val="40"/>
        </w:rPr>
      </w:pPr>
      <w:r>
        <w:rPr>
          <w:rFonts w:hint="eastAsia" w:ascii="仿宋" w:hAnsi="仿宋" w:eastAsia="仿宋" w:cs="宋体"/>
          <w:b/>
          <w:bCs/>
          <w:color w:val="000000"/>
          <w:kern w:val="0"/>
          <w:sz w:val="32"/>
          <w:szCs w:val="32"/>
        </w:rPr>
        <w:t xml:space="preserve">第十二条 </w:t>
      </w:r>
      <w:r>
        <w:rPr>
          <w:rFonts w:hint="eastAsia" w:ascii="仿宋" w:hAnsi="仿宋" w:eastAsia="仿宋" w:cs="宋体"/>
          <w:color w:val="000000"/>
          <w:kern w:val="0"/>
          <w:sz w:val="32"/>
          <w:szCs w:val="32"/>
        </w:rPr>
        <w:t>本办法解释权在学校党委研究生工作部/研究生院。</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lZDIyN2M3NGI1ZDYzNGJkN2I1MzZmZTk0ODhiZWQifQ=="/>
  </w:docVars>
  <w:rsids>
    <w:rsidRoot w:val="00C368D5"/>
    <w:rsid w:val="000337B6"/>
    <w:rsid w:val="00084344"/>
    <w:rsid w:val="000D182B"/>
    <w:rsid w:val="001114D6"/>
    <w:rsid w:val="001227F8"/>
    <w:rsid w:val="00192E9F"/>
    <w:rsid w:val="002B3B98"/>
    <w:rsid w:val="00306442"/>
    <w:rsid w:val="003836CA"/>
    <w:rsid w:val="003F4FF1"/>
    <w:rsid w:val="0041382A"/>
    <w:rsid w:val="00447D94"/>
    <w:rsid w:val="00461707"/>
    <w:rsid w:val="004F3845"/>
    <w:rsid w:val="00545116"/>
    <w:rsid w:val="00564A98"/>
    <w:rsid w:val="00564C97"/>
    <w:rsid w:val="00594734"/>
    <w:rsid w:val="005A634D"/>
    <w:rsid w:val="005B2111"/>
    <w:rsid w:val="005E1D45"/>
    <w:rsid w:val="005E419F"/>
    <w:rsid w:val="006172F9"/>
    <w:rsid w:val="006C5AF2"/>
    <w:rsid w:val="006D18E2"/>
    <w:rsid w:val="007E2680"/>
    <w:rsid w:val="008210EB"/>
    <w:rsid w:val="008361AC"/>
    <w:rsid w:val="008C48B0"/>
    <w:rsid w:val="008E5AFD"/>
    <w:rsid w:val="00905C37"/>
    <w:rsid w:val="00924380"/>
    <w:rsid w:val="00925ADB"/>
    <w:rsid w:val="00943BA7"/>
    <w:rsid w:val="009E78F2"/>
    <w:rsid w:val="00A22DEA"/>
    <w:rsid w:val="00A30600"/>
    <w:rsid w:val="00A84C19"/>
    <w:rsid w:val="00B04936"/>
    <w:rsid w:val="00B602C7"/>
    <w:rsid w:val="00BE7F92"/>
    <w:rsid w:val="00C2050C"/>
    <w:rsid w:val="00C368D5"/>
    <w:rsid w:val="00C4028F"/>
    <w:rsid w:val="00C453A6"/>
    <w:rsid w:val="00C85A84"/>
    <w:rsid w:val="00C978E6"/>
    <w:rsid w:val="00CA0560"/>
    <w:rsid w:val="00CB74C0"/>
    <w:rsid w:val="00CB7956"/>
    <w:rsid w:val="00DA4B0D"/>
    <w:rsid w:val="00DB27CD"/>
    <w:rsid w:val="00DB4A5A"/>
    <w:rsid w:val="00F7439D"/>
    <w:rsid w:val="01AF6130"/>
    <w:rsid w:val="02656B70"/>
    <w:rsid w:val="02C770C2"/>
    <w:rsid w:val="02EF25DC"/>
    <w:rsid w:val="05F93F4A"/>
    <w:rsid w:val="06971ECB"/>
    <w:rsid w:val="082568D8"/>
    <w:rsid w:val="0B376372"/>
    <w:rsid w:val="0BDC75D8"/>
    <w:rsid w:val="0CBF15D9"/>
    <w:rsid w:val="0ECE55AA"/>
    <w:rsid w:val="0F602D60"/>
    <w:rsid w:val="0F957883"/>
    <w:rsid w:val="103C6969"/>
    <w:rsid w:val="106479F6"/>
    <w:rsid w:val="10CD3F56"/>
    <w:rsid w:val="11706FAA"/>
    <w:rsid w:val="123319D4"/>
    <w:rsid w:val="14D349AE"/>
    <w:rsid w:val="170D2B6C"/>
    <w:rsid w:val="1738746B"/>
    <w:rsid w:val="1A3D1AAA"/>
    <w:rsid w:val="1C3A308B"/>
    <w:rsid w:val="1EA60727"/>
    <w:rsid w:val="1F09373B"/>
    <w:rsid w:val="1F175915"/>
    <w:rsid w:val="22077BC6"/>
    <w:rsid w:val="232F02F7"/>
    <w:rsid w:val="23CB0919"/>
    <w:rsid w:val="25A84259"/>
    <w:rsid w:val="25DE1A64"/>
    <w:rsid w:val="275B795B"/>
    <w:rsid w:val="276033A7"/>
    <w:rsid w:val="29B12EF8"/>
    <w:rsid w:val="2ADF265F"/>
    <w:rsid w:val="2C22208B"/>
    <w:rsid w:val="2CD5044C"/>
    <w:rsid w:val="2F3C3BFE"/>
    <w:rsid w:val="31801CC4"/>
    <w:rsid w:val="33361869"/>
    <w:rsid w:val="335A0C93"/>
    <w:rsid w:val="33772BF7"/>
    <w:rsid w:val="34062150"/>
    <w:rsid w:val="352F6D7B"/>
    <w:rsid w:val="35D21A15"/>
    <w:rsid w:val="36DF65C4"/>
    <w:rsid w:val="3C860E69"/>
    <w:rsid w:val="3F576C30"/>
    <w:rsid w:val="40F24A6F"/>
    <w:rsid w:val="418D41D7"/>
    <w:rsid w:val="42523B02"/>
    <w:rsid w:val="44D55693"/>
    <w:rsid w:val="47A15E10"/>
    <w:rsid w:val="48447F21"/>
    <w:rsid w:val="49826938"/>
    <w:rsid w:val="4983359B"/>
    <w:rsid w:val="4A6B0F96"/>
    <w:rsid w:val="4F0043CF"/>
    <w:rsid w:val="4F737E6D"/>
    <w:rsid w:val="50CE7495"/>
    <w:rsid w:val="54544368"/>
    <w:rsid w:val="596A3432"/>
    <w:rsid w:val="5A244E59"/>
    <w:rsid w:val="5CFC54EC"/>
    <w:rsid w:val="5DC16531"/>
    <w:rsid w:val="5E883628"/>
    <w:rsid w:val="5EDD391B"/>
    <w:rsid w:val="62D65F39"/>
    <w:rsid w:val="631F7401"/>
    <w:rsid w:val="66EC5AA4"/>
    <w:rsid w:val="68AF6B09"/>
    <w:rsid w:val="690528E4"/>
    <w:rsid w:val="69CD2507"/>
    <w:rsid w:val="69FD4AE7"/>
    <w:rsid w:val="6CAF5D4B"/>
    <w:rsid w:val="6E3D6F21"/>
    <w:rsid w:val="6F42172C"/>
    <w:rsid w:val="6FD94176"/>
    <w:rsid w:val="715255BB"/>
    <w:rsid w:val="718B037E"/>
    <w:rsid w:val="73726168"/>
    <w:rsid w:val="73CB0DD6"/>
    <w:rsid w:val="756A4BD6"/>
    <w:rsid w:val="75D507F2"/>
    <w:rsid w:val="77D12B8B"/>
    <w:rsid w:val="7A2A1CB1"/>
    <w:rsid w:val="7A9A3617"/>
    <w:rsid w:val="7BDB1AE1"/>
    <w:rsid w:val="7CD80B67"/>
    <w:rsid w:val="7CF47539"/>
    <w:rsid w:val="7E3B4ED0"/>
    <w:rsid w:val="7EE5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7"/>
    <w:qFormat/>
    <w:uiPriority w:val="0"/>
    <w:rPr>
      <w:b/>
      <w:bCs/>
    </w:rPr>
  </w:style>
  <w:style w:type="character" w:styleId="10">
    <w:name w:val="Strong"/>
    <w:basedOn w:val="9"/>
    <w:qFormat/>
    <w:uiPriority w:val="22"/>
    <w:rPr>
      <w:b/>
      <w:bCs/>
    </w:rPr>
  </w:style>
  <w:style w:type="character" w:styleId="11">
    <w:name w:val="annotation reference"/>
    <w:basedOn w:val="9"/>
    <w:qFormat/>
    <w:uiPriority w:val="0"/>
    <w:rPr>
      <w:sz w:val="21"/>
      <w:szCs w:val="21"/>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6">
    <w:name w:val="批注文字 Char"/>
    <w:basedOn w:val="9"/>
    <w:link w:val="2"/>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7"/>
    <w:qFormat/>
    <w:uiPriority w:val="0"/>
    <w:rPr>
      <w:rFonts w:asciiTheme="minorHAnsi" w:hAnsiTheme="minorHAnsi" w:eastAsiaTheme="minorEastAsia" w:cstheme="minorBidi"/>
      <w:b/>
      <w:bCs/>
      <w:kern w:val="2"/>
      <w:sz w:val="21"/>
      <w:szCs w:val="24"/>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1794</Words>
  <Characters>1807</Characters>
  <Lines>11</Lines>
  <Paragraphs>3</Paragraphs>
  <TotalTime>11</TotalTime>
  <ScaleCrop>false</ScaleCrop>
  <LinksUpToDate>false</LinksUpToDate>
  <CharactersWithSpaces>1831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2020-10-05T02:23:00Z</dcterms:created>
  <dc:creator>iPhone XR</dc:creator>
  <cp:lastModifiedBy>那只鱼</cp:lastModifiedBy>
  <cp:lastPrinted>2021-09-13T01:21:00Z</cp:lastPrinted>
  <dcterms:modified xsi:type="dcterms:W3CDTF">2022-09-28T02:52:03Z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94DBD48C1399427696C61BC0A7D30024</vt:lpwstr>
  </property>
</Properties>
</file>